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0A" w:rsidRPr="00AD0ABF" w:rsidRDefault="00424F0A" w:rsidP="00424F0A">
      <w:pPr>
        <w:spacing w:before="225" w:after="225" w:line="252" w:lineRule="atLeast"/>
        <w:jc w:val="center"/>
        <w:rPr>
          <w:rFonts w:ascii="Times New Roman" w:eastAsia="Times New Roman" w:hAnsi="Times New Roman"/>
          <w:b/>
          <w:sz w:val="32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32"/>
          <w:szCs w:val="24"/>
          <w:lang w:eastAsia="lt-LT"/>
        </w:rPr>
        <w:t>Tuberkuliozė</w:t>
      </w:r>
    </w:p>
    <w:p w:rsidR="00AD0ABF" w:rsidRDefault="00424F0A" w:rsidP="00CC3029">
      <w:pPr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1 faktas</w:t>
      </w:r>
      <w:r w:rsidR="00024A44" w:rsidRPr="00AD0ABF">
        <w:rPr>
          <w:rFonts w:ascii="Times New Roman" w:eastAsia="Times New Roman" w:hAnsi="Times New Roman"/>
          <w:i/>
          <w:sz w:val="24"/>
          <w:szCs w:val="24"/>
          <w:lang w:eastAsia="lt-LT"/>
        </w:rPr>
        <w:t xml:space="preserve"> </w:t>
      </w:r>
      <w:r w:rsidR="00024A44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Tuberkuliozę sukelia </w:t>
      </w:r>
      <w:proofErr w:type="spellStart"/>
      <w:r w:rsidR="00024A44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mikobakterijos</w:t>
      </w:r>
      <w:proofErr w:type="spellEnd"/>
      <w:r w:rsidR="00024A44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, kurios </w:t>
      </w:r>
      <w:r w:rsidR="0065135E" w:rsidRPr="00AD0ABF">
        <w:rPr>
          <w:rFonts w:ascii="Times New Roman" w:hAnsi="Times New Roman"/>
          <w:sz w:val="24"/>
          <w:szCs w:val="24"/>
        </w:rPr>
        <w:t>atsparios karščiui, šalčiui, spiritui, tačiau jautrios ultravioletiniams sp</w:t>
      </w:r>
      <w:r w:rsidR="00CC3029" w:rsidRPr="00AD0ABF">
        <w:rPr>
          <w:rFonts w:ascii="Times New Roman" w:hAnsi="Times New Roman"/>
          <w:sz w:val="24"/>
          <w:szCs w:val="24"/>
        </w:rPr>
        <w:t xml:space="preserve">induliams ir chloro junginiams. </w:t>
      </w:r>
    </w:p>
    <w:p w:rsidR="00AD0ABF" w:rsidRDefault="0065135E" w:rsidP="00CC3029">
      <w:pPr>
        <w:spacing w:after="0" w:line="252" w:lineRule="atLeast"/>
        <w:jc w:val="both"/>
        <w:rPr>
          <w:rFonts w:ascii="Times New Roman" w:eastAsia="Times New Roman" w:hAnsi="Times New Roman"/>
          <w:sz w:val="28"/>
          <w:szCs w:val="24"/>
          <w:lang w:eastAsia="lt-LT"/>
        </w:rPr>
      </w:pPr>
      <w:proofErr w:type="spellStart"/>
      <w:r w:rsidRPr="00AD0ABF">
        <w:rPr>
          <w:rFonts w:ascii="Times New Roman" w:hAnsi="Times New Roman"/>
          <w:b/>
          <w:sz w:val="24"/>
          <w:szCs w:val="24"/>
        </w:rPr>
        <w:t>Mikobakterijos</w:t>
      </w:r>
      <w:proofErr w:type="spellEnd"/>
      <w:r w:rsidRPr="00AD0ABF">
        <w:rPr>
          <w:rFonts w:ascii="Times New Roman" w:hAnsi="Times New Roman"/>
          <w:sz w:val="24"/>
          <w:szCs w:val="24"/>
        </w:rPr>
        <w:t xml:space="preserve"> </w:t>
      </w:r>
      <w:r w:rsidR="00024A44" w:rsidRPr="00AD0ABF">
        <w:rPr>
          <w:rFonts w:ascii="Times New Roman" w:hAnsi="Times New Roman"/>
          <w:sz w:val="24"/>
          <w:szCs w:val="24"/>
        </w:rPr>
        <w:t>gatvės dulkėse išlieka gyvybingos iki 2–3 savaičių, tarp knygų puslapių – iki 3 mėnesių, kambaryje – 1,5 mėnesio.</w:t>
      </w:r>
      <w:r w:rsidR="00AD0ABF">
        <w:rPr>
          <w:rFonts w:ascii="Times New Roman" w:hAnsi="Times New Roman"/>
          <w:sz w:val="24"/>
        </w:rPr>
        <w:t xml:space="preserve"> Manoma, kad jos išdžiūvusios</w:t>
      </w:r>
      <w:r w:rsidR="00024A44" w:rsidRPr="00AD0ABF">
        <w:rPr>
          <w:rFonts w:ascii="Times New Roman" w:hAnsi="Times New Roman"/>
          <w:sz w:val="24"/>
        </w:rPr>
        <w:t xml:space="preserve"> gali išlikti iki 7 metų.</w:t>
      </w:r>
      <w:r w:rsidR="00424F0A" w:rsidRPr="00AD0ABF">
        <w:rPr>
          <w:rFonts w:ascii="Times New Roman" w:eastAsia="Times New Roman" w:hAnsi="Times New Roman"/>
          <w:sz w:val="28"/>
          <w:szCs w:val="24"/>
          <w:lang w:eastAsia="lt-LT"/>
        </w:rPr>
        <w:t> </w:t>
      </w:r>
    </w:p>
    <w:p w:rsidR="0065135E" w:rsidRPr="00AD0ABF" w:rsidRDefault="00024A44" w:rsidP="00CC3029">
      <w:pPr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  <w:r w:rsidRPr="00AD0ABF">
        <w:rPr>
          <w:rFonts w:ascii="Times New Roman" w:hAnsi="Times New Roman"/>
          <w:sz w:val="24"/>
        </w:rPr>
        <w:t>Tiesioginėje saulės šviesoje žūva per 1–1,5 val., veikiant ultravioletiniams spinduliams – per 2–3 min., 70 °C vandenyje– per 20 min., 80 °C vandenyje – per 5 min.</w:t>
      </w:r>
    </w:p>
    <w:p w:rsidR="00424F0A" w:rsidRPr="00AD0ABF" w:rsidRDefault="0065135E" w:rsidP="009866B7">
      <w:pPr>
        <w:spacing w:before="225" w:after="225" w:line="240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2 f</w:t>
      </w:r>
      <w:r w:rsidR="00FC07BF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aktas</w:t>
      </w:r>
      <w:r w:rsidR="00FC07BF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2007 m. Lietuva priskirta prie labiausiai tuberkuliozės pažeistų Europos šalių.</w:t>
      </w:r>
    </w:p>
    <w:p w:rsidR="00424F0A" w:rsidRPr="00AD0ABF" w:rsidRDefault="00FC07BF" w:rsidP="009866B7">
      <w:pPr>
        <w:spacing w:after="0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3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 Tuberkuliozės paplitimą mūsų šalyje lemia dvi problemos: </w:t>
      </w:r>
    </w:p>
    <w:p w:rsidR="00424F0A" w:rsidRPr="00AD0ABF" w:rsidRDefault="00424F0A" w:rsidP="009866B7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i/>
          <w:sz w:val="24"/>
          <w:szCs w:val="24"/>
          <w:lang w:eastAsia="lt-LT"/>
        </w:rPr>
        <w:t>socialinės</w:t>
      </w:r>
      <w:r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 (nedarbas, skurdas, alkoholio, narkotikų vartojimas);</w:t>
      </w:r>
    </w:p>
    <w:p w:rsidR="00554836" w:rsidRPr="00AD0ABF" w:rsidRDefault="00424F0A" w:rsidP="009866B7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i/>
          <w:sz w:val="24"/>
          <w:szCs w:val="24"/>
          <w:lang w:eastAsia="lt-LT"/>
        </w:rPr>
        <w:t>psichologinės</w:t>
      </w:r>
      <w:r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 (dalies sergančiųjų tuberkulioze nesuvokimas šios ligos sukeliamų sveikatos sutriki</w:t>
      </w:r>
      <w:r w:rsidR="00CC3029" w:rsidRPr="00AD0ABF">
        <w:rPr>
          <w:rFonts w:ascii="Times New Roman" w:eastAsia="Times New Roman" w:hAnsi="Times New Roman"/>
          <w:sz w:val="24"/>
          <w:szCs w:val="24"/>
          <w:lang w:eastAsia="lt-LT"/>
        </w:rPr>
        <w:t>mų sunkumo ir nenoras gydytis,</w:t>
      </w:r>
      <w:r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 baigti gydymo kursą, gydymo režimo pažeidimai).</w:t>
      </w:r>
    </w:p>
    <w:p w:rsidR="00424F0A" w:rsidRPr="00AD0ABF" w:rsidRDefault="00FC07BF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4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 Apie 50 proc. naujų tuberkuliozės pacientų– bedarbiai arba neturintys nuolatinio darbo, iš jų apie 30 proc. piktnaudžiauja alkoholiu, pažeidinėja gydymo režimą, netinkamai maitinasi.</w:t>
      </w:r>
    </w:p>
    <w:p w:rsidR="009866B7" w:rsidRPr="00AD0ABF" w:rsidRDefault="00FC07BF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 Tuberkulioze užsikrečiama nuo sergančiųjų atvira tuberkuliozės forma ilgalaikio kontakto metu oro lašeliniu būdu (</w:t>
      </w:r>
      <w:proofErr w:type="spellStart"/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čiaudėjant</w:t>
      </w:r>
      <w:proofErr w:type="spellEnd"/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, kosėjant</w:t>
      </w:r>
      <w:r w:rsidR="00631E5F" w:rsidRPr="00AD0ABF">
        <w:rPr>
          <w:rFonts w:ascii="Times New Roman" w:eastAsia="Times New Roman" w:hAnsi="Times New Roman"/>
          <w:sz w:val="24"/>
          <w:szCs w:val="24"/>
          <w:lang w:eastAsia="lt-LT"/>
        </w:rPr>
        <w:t>, kalbant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).</w:t>
      </w:r>
    </w:p>
    <w:p w:rsidR="00CC3029" w:rsidRPr="00AD0ABF" w:rsidRDefault="00767ACA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054354F3" wp14:editId="031E9E3C">
            <wp:simplePos x="0" y="0"/>
            <wp:positionH relativeFrom="column">
              <wp:posOffset>135255</wp:posOffset>
            </wp:positionH>
            <wp:positionV relativeFrom="paragraph">
              <wp:posOffset>67310</wp:posOffset>
            </wp:positionV>
            <wp:extent cx="2657475" cy="1468120"/>
            <wp:effectExtent l="0" t="0" r="9525" b="0"/>
            <wp:wrapTight wrapText="bothSides">
              <wp:wrapPolygon edited="0">
                <wp:start x="0" y="0"/>
                <wp:lineTo x="0" y="21301"/>
                <wp:lineTo x="21523" y="21301"/>
                <wp:lineTo x="21523" y="0"/>
                <wp:lineTo x="0" y="0"/>
              </wp:wrapPolygon>
            </wp:wrapTight>
            <wp:docPr id="1" name="Paveikslėlis 1" descr="http://www.poliklinika.lt/media/1075/tuberkulioze.jpg?width=320&amp;height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www.poliklinika.lt/media/1075/tuberkulioze.jpg?width=320&amp;height=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029" w:rsidRPr="00AD0ABF" w:rsidRDefault="00CC3029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C3029" w:rsidRPr="00AD0ABF" w:rsidRDefault="00CC3029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C3029" w:rsidRPr="00AD0ABF" w:rsidRDefault="00CC3029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7ACA" w:rsidRDefault="00767ACA" w:rsidP="00CC3029">
      <w:pPr>
        <w:spacing w:before="225" w:after="225" w:line="25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67ACA" w:rsidRDefault="00767ACA" w:rsidP="00CC3029">
      <w:pPr>
        <w:spacing w:before="225" w:after="225" w:line="25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67ACA" w:rsidRPr="00AD0ABF" w:rsidRDefault="00FC07BF" w:rsidP="00CC3029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6</w:t>
      </w:r>
      <w:r w:rsidR="00CC3029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18196B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8196B" w:rsidRPr="00AD0ABF">
        <w:rPr>
          <w:rFonts w:ascii="Times New Roman" w:eastAsia="Times New Roman" w:hAnsi="Times New Roman"/>
          <w:sz w:val="24"/>
          <w:szCs w:val="24"/>
          <w:lang w:eastAsia="lt-LT"/>
        </w:rPr>
        <w:t>Užsikrėtęs, bet nesergantis tuberkulioze asmuo negali užkrėsti kitų žmonių šia liga. </w:t>
      </w:r>
    </w:p>
    <w:p w:rsidR="00424F0A" w:rsidRPr="00AD0ABF" w:rsidRDefault="00FC07BF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7</w:t>
      </w:r>
      <w:r w:rsidR="0018196B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18196B" w:rsidRPr="00AD0ABF">
        <w:rPr>
          <w:rFonts w:ascii="Times New Roman" w:eastAsia="Times New Roman" w:hAnsi="Times New Roman"/>
          <w:sz w:val="24"/>
          <w:szCs w:val="24"/>
          <w:lang w:eastAsia="lt-LT"/>
        </w:rPr>
        <w:t>Tuberkuliozė dažniausiai pažeidžia žmogaus plaučius, tačiau pasitaiko atvejų, kai pažeidžiamos smegenys,  kaulai, stuburas, inkstai ar kiti organai.</w:t>
      </w:r>
    </w:p>
    <w:p w:rsidR="00424F0A" w:rsidRPr="00AD0ABF" w:rsidRDefault="00FC07BF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8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18196B" w:rsidRPr="00AD0ABF">
        <w:rPr>
          <w:rFonts w:ascii="Times New Roman" w:eastAsia="Times New Roman" w:hAnsi="Times New Roman"/>
          <w:sz w:val="24"/>
          <w:szCs w:val="24"/>
          <w:lang w:eastAsia="lt-LT"/>
        </w:rPr>
        <w:t>Vienas sergantis atvira plaučių tuberkulioze asmuo gali apkrėsti iki 25-35 asmenų. Jei sergantysis laikosi asmens higienos, užkrėstųjų skaičius sumažėja per pusę.</w:t>
      </w:r>
    </w:p>
    <w:p w:rsidR="0018196B" w:rsidRPr="00AD0ABF" w:rsidRDefault="00FC07BF" w:rsidP="009866B7">
      <w:pPr>
        <w:spacing w:after="0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9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18196B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 Pagrindiniai ligos rizikos veiksniai: </w:t>
      </w:r>
    </w:p>
    <w:p w:rsidR="0018196B" w:rsidRPr="00AD0ABF" w:rsidRDefault="0018196B" w:rsidP="009866B7">
      <w:pPr>
        <w:pStyle w:val="Sraopastraipa"/>
        <w:numPr>
          <w:ilvl w:val="0"/>
          <w:numId w:val="3"/>
        </w:numPr>
        <w:spacing w:after="0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nusilpęs imunitetas; </w:t>
      </w:r>
    </w:p>
    <w:p w:rsidR="0018196B" w:rsidRPr="00AD0ABF" w:rsidRDefault="0018196B" w:rsidP="009866B7">
      <w:pPr>
        <w:pStyle w:val="Sraopastraipa"/>
        <w:numPr>
          <w:ilvl w:val="0"/>
          <w:numId w:val="3"/>
        </w:numPr>
        <w:spacing w:after="0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sz w:val="24"/>
          <w:szCs w:val="24"/>
          <w:lang w:eastAsia="lt-LT"/>
        </w:rPr>
        <w:t>artimas kontaktas su sergančiuoju atvira tuberkuliozės forma;</w:t>
      </w:r>
    </w:p>
    <w:p w:rsidR="00424F0A" w:rsidRPr="00AD0ABF" w:rsidRDefault="0018196B" w:rsidP="009866B7">
      <w:pPr>
        <w:pStyle w:val="Sraopastraipa"/>
        <w:numPr>
          <w:ilvl w:val="0"/>
          <w:numId w:val="3"/>
        </w:numPr>
        <w:spacing w:after="0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sz w:val="24"/>
          <w:szCs w:val="24"/>
          <w:lang w:eastAsia="lt-LT"/>
        </w:rPr>
        <w:t>rūkymas, piktnaudžiavimas alkoholiu ir narkotinėmis medžiagomis, prasta mityba;</w:t>
      </w:r>
    </w:p>
    <w:p w:rsidR="0018196B" w:rsidRPr="00AD0ABF" w:rsidRDefault="0018196B" w:rsidP="009866B7">
      <w:pPr>
        <w:numPr>
          <w:ilvl w:val="0"/>
          <w:numId w:val="3"/>
        </w:numPr>
        <w:spacing w:after="0" w:line="252" w:lineRule="atLeast"/>
        <w:jc w:val="both"/>
        <w:rPr>
          <w:rFonts w:ascii="Times New Roman" w:eastAsia="Times New Roman" w:hAnsi="Times New Roman"/>
          <w:sz w:val="24"/>
          <w:szCs w:val="18"/>
          <w:lang w:eastAsia="lt-LT"/>
        </w:rPr>
      </w:pPr>
      <w:r w:rsidRPr="00AD0ABF">
        <w:rPr>
          <w:rFonts w:ascii="Times New Roman" w:eastAsia="Times New Roman" w:hAnsi="Times New Roman"/>
          <w:sz w:val="24"/>
          <w:szCs w:val="18"/>
          <w:lang w:eastAsia="lt-LT"/>
        </w:rPr>
        <w:t>vyriška lytis;</w:t>
      </w:r>
    </w:p>
    <w:p w:rsidR="0018196B" w:rsidRPr="00AD0ABF" w:rsidRDefault="0018196B" w:rsidP="009866B7">
      <w:pPr>
        <w:numPr>
          <w:ilvl w:val="0"/>
          <w:numId w:val="3"/>
        </w:numPr>
        <w:spacing w:after="0" w:line="252" w:lineRule="atLeast"/>
        <w:jc w:val="both"/>
        <w:rPr>
          <w:rFonts w:ascii="Times New Roman" w:eastAsia="Times New Roman" w:hAnsi="Times New Roman"/>
          <w:sz w:val="24"/>
          <w:szCs w:val="18"/>
          <w:lang w:eastAsia="lt-LT"/>
        </w:rPr>
      </w:pPr>
      <w:r w:rsidRPr="00AD0ABF">
        <w:rPr>
          <w:rFonts w:ascii="Times New Roman" w:eastAsia="Times New Roman" w:hAnsi="Times New Roman"/>
          <w:sz w:val="24"/>
          <w:szCs w:val="18"/>
          <w:lang w:eastAsia="lt-LT"/>
        </w:rPr>
        <w:t>vyresnis amžius (senėjimas bei lydinčios ligos didina riziką);</w:t>
      </w:r>
    </w:p>
    <w:p w:rsidR="0018196B" w:rsidRPr="00AD0ABF" w:rsidRDefault="0018196B" w:rsidP="009866B7">
      <w:pPr>
        <w:numPr>
          <w:ilvl w:val="0"/>
          <w:numId w:val="3"/>
        </w:numPr>
        <w:spacing w:after="0" w:line="252" w:lineRule="atLeast"/>
        <w:jc w:val="both"/>
        <w:rPr>
          <w:rFonts w:ascii="Times New Roman" w:eastAsia="Times New Roman" w:hAnsi="Times New Roman"/>
          <w:sz w:val="24"/>
          <w:szCs w:val="18"/>
          <w:lang w:eastAsia="lt-LT"/>
        </w:rPr>
      </w:pPr>
      <w:r w:rsidRPr="00AD0ABF">
        <w:rPr>
          <w:rFonts w:ascii="Times New Roman" w:eastAsia="Times New Roman" w:hAnsi="Times New Roman"/>
          <w:sz w:val="24"/>
          <w:szCs w:val="18"/>
          <w:lang w:eastAsia="lt-LT"/>
        </w:rPr>
        <w:t>gyvenimas Afrikoje, Azijoje, Lotynų Amerikoje, buvusiose Sovietų sąjungos šalyse (yra didelis tuberkuliozės paplitimas);</w:t>
      </w:r>
    </w:p>
    <w:p w:rsidR="0018196B" w:rsidRPr="00AD0ABF" w:rsidRDefault="0018196B" w:rsidP="009866B7">
      <w:pPr>
        <w:pStyle w:val="Sraopastraipa"/>
        <w:numPr>
          <w:ilvl w:val="0"/>
          <w:numId w:val="3"/>
        </w:numPr>
        <w:spacing w:after="0" w:line="252" w:lineRule="atLeast"/>
        <w:jc w:val="both"/>
        <w:rPr>
          <w:rFonts w:ascii="Times New Roman" w:eastAsia="Times New Roman" w:hAnsi="Times New Roman"/>
          <w:sz w:val="36"/>
          <w:szCs w:val="24"/>
          <w:lang w:eastAsia="lt-LT"/>
        </w:rPr>
      </w:pPr>
      <w:r w:rsidRPr="00AD0ABF">
        <w:rPr>
          <w:rFonts w:ascii="Times New Roman" w:eastAsia="Times New Roman" w:hAnsi="Times New Roman"/>
          <w:sz w:val="24"/>
          <w:szCs w:val="18"/>
          <w:lang w:eastAsia="lt-LT"/>
        </w:rPr>
        <w:t>darbas sveikatos priežiūros įstaigose.</w:t>
      </w:r>
    </w:p>
    <w:p w:rsidR="00424F0A" w:rsidRPr="00AD0ABF" w:rsidRDefault="00FC07BF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10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18196B" w:rsidRPr="00AD0ABF">
        <w:rPr>
          <w:rFonts w:ascii="Times New Roman" w:eastAsia="Times New Roman" w:hAnsi="Times New Roman"/>
          <w:sz w:val="24"/>
          <w:szCs w:val="24"/>
          <w:lang w:eastAsia="lt-LT"/>
        </w:rPr>
        <w:t>Gydymas trunka ne mažiau kaip 6 mėnesius. Būtina laikytis griežtų gydytojų rekomendacijų, nes nutraukus gydymą, gali išsivystyti sunkios formos tuberkuliozė, kuri atspari antibiotikams.</w:t>
      </w:r>
    </w:p>
    <w:p w:rsidR="00424F0A" w:rsidRPr="00AD0ABF" w:rsidRDefault="00FC07BF" w:rsidP="00CC3029">
      <w:pPr>
        <w:spacing w:after="0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11</w:t>
      </w:r>
      <w:r w:rsidR="00631E5F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631E5F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Tuberkulino </w:t>
      </w:r>
      <w:r w:rsidR="00554836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testas atliekamas 7 metų amžiaus vaikams ir vaikams iš rizikos grupių (bendraujantiems su </w:t>
      </w:r>
      <w:proofErr w:type="spellStart"/>
      <w:r w:rsidR="00554836" w:rsidRPr="00AD0ABF">
        <w:rPr>
          <w:rFonts w:ascii="Times New Roman" w:eastAsia="Times New Roman" w:hAnsi="Times New Roman"/>
          <w:sz w:val="24"/>
          <w:szCs w:val="24"/>
          <w:lang w:eastAsia="lt-LT"/>
        </w:rPr>
        <w:t>sergančiaisias</w:t>
      </w:r>
      <w:proofErr w:type="spellEnd"/>
      <w:r w:rsidR="00554836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 tuberkulioze, sergantiems lėtinėmis ligomis ir t.t.). Jo metu po oda įšvirkščiama nedidelis kiekis specialaus skysčio tuberkulino. Po kelių dienų stebima odos reakcija (patinimas) ir vertinamas pagal </w:t>
      </w:r>
      <w:proofErr w:type="spellStart"/>
      <w:r w:rsidR="00554836" w:rsidRPr="00AD0ABF">
        <w:rPr>
          <w:rFonts w:ascii="Times New Roman" w:eastAsia="Times New Roman" w:hAnsi="Times New Roman"/>
          <w:sz w:val="24"/>
          <w:szCs w:val="24"/>
          <w:lang w:eastAsia="lt-LT"/>
        </w:rPr>
        <w:t>išmatavimus</w:t>
      </w:r>
      <w:proofErr w:type="spellEnd"/>
      <w:r w:rsidR="00554836" w:rsidRPr="00AD0ABF">
        <w:rPr>
          <w:rFonts w:ascii="Times New Roman" w:eastAsia="Times New Roman" w:hAnsi="Times New Roman"/>
          <w:sz w:val="24"/>
          <w:szCs w:val="24"/>
          <w:lang w:eastAsia="lt-LT"/>
        </w:rPr>
        <w:t>.  Teigiamas testas dažniausiai reiškia, kad žmogus infekuotas tuberkulioze.</w:t>
      </w:r>
    </w:p>
    <w:p w:rsidR="00424F0A" w:rsidRPr="00AD0ABF" w:rsidRDefault="00FC07BF" w:rsidP="00CC3029">
      <w:pPr>
        <w:spacing w:before="225" w:after="225" w:line="252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>12</w:t>
      </w:r>
      <w:r w:rsidR="00424F0A" w:rsidRPr="00AD0AB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faktas</w:t>
      </w:r>
      <w:r w:rsidR="00424F0A" w:rsidRPr="00AD0ABF">
        <w:rPr>
          <w:rFonts w:ascii="Times New Roman" w:eastAsia="Times New Roman" w:hAnsi="Times New Roman"/>
          <w:sz w:val="24"/>
          <w:szCs w:val="24"/>
          <w:lang w:eastAsia="lt-LT"/>
        </w:rPr>
        <w:t xml:space="preserve">  </w:t>
      </w:r>
      <w:r w:rsidR="00554836" w:rsidRPr="00AD0ABF">
        <w:rPr>
          <w:rFonts w:ascii="Times New Roman" w:eastAsia="Times New Roman" w:hAnsi="Times New Roman"/>
          <w:sz w:val="24"/>
          <w:szCs w:val="24"/>
          <w:lang w:eastAsia="lt-LT"/>
        </w:rPr>
        <w:t>BCG vakcina – neapsaugo nuo susirgimų plaučių tuberkulioze, tačiau skiepijant kūdikius ir naujagimius galima juos apsaugoti nuo itin sunkių tuberkuliozės formų.</w:t>
      </w:r>
    </w:p>
    <w:p w:rsidR="00424F0A" w:rsidRPr="00AD0ABF" w:rsidRDefault="00424F0A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i/>
          <w:szCs w:val="24"/>
          <w:lang w:eastAsia="lt-LT"/>
        </w:rPr>
      </w:pPr>
      <w:r w:rsidRPr="00AD0ABF">
        <w:rPr>
          <w:rFonts w:ascii="Times New Roman" w:eastAsia="Times New Roman" w:hAnsi="Times New Roman"/>
          <w:i/>
          <w:sz w:val="24"/>
          <w:szCs w:val="24"/>
          <w:lang w:eastAsia="lt-LT"/>
        </w:rPr>
        <w:t>Esant įtarimų dėl tuberkuliozės – kreipkitės į savo šeimos  gydytoją. Jeigu reikės, šeimos gydytojas nukreips pas gydytoją pulmonologą arba į specializuot</w:t>
      </w:r>
      <w:r w:rsidR="00554836" w:rsidRPr="00AD0ABF">
        <w:rPr>
          <w:rFonts w:ascii="Times New Roman" w:eastAsia="Times New Roman" w:hAnsi="Times New Roman"/>
          <w:i/>
          <w:sz w:val="24"/>
          <w:szCs w:val="24"/>
          <w:lang w:eastAsia="lt-LT"/>
        </w:rPr>
        <w:t>ą tuberkuliozės gydymo įstaigą</w:t>
      </w:r>
      <w:r w:rsidR="00554836" w:rsidRPr="00AD0ABF">
        <w:rPr>
          <w:rFonts w:ascii="Times New Roman" w:eastAsia="Times New Roman" w:hAnsi="Times New Roman"/>
          <w:i/>
          <w:szCs w:val="24"/>
          <w:lang w:eastAsia="lt-LT"/>
        </w:rPr>
        <w:t>.</w:t>
      </w:r>
    </w:p>
    <w:p w:rsidR="00AD0ABF" w:rsidRDefault="00AD0ABF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iCs/>
          <w:sz w:val="13"/>
          <w:szCs w:val="13"/>
          <w:lang w:eastAsia="lt-LT"/>
        </w:rPr>
      </w:pPr>
    </w:p>
    <w:p w:rsidR="00AD0ABF" w:rsidRDefault="00AD0ABF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iCs/>
          <w:sz w:val="13"/>
          <w:szCs w:val="13"/>
          <w:lang w:eastAsia="lt-LT"/>
        </w:rPr>
      </w:pPr>
    </w:p>
    <w:p w:rsidR="00767ACA" w:rsidRDefault="00767ACA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iCs/>
          <w:sz w:val="13"/>
          <w:szCs w:val="13"/>
          <w:lang w:eastAsia="lt-LT"/>
        </w:rPr>
      </w:pPr>
      <w:bookmarkStart w:id="0" w:name="_GoBack"/>
      <w:bookmarkEnd w:id="0"/>
    </w:p>
    <w:p w:rsidR="00AD0ABF" w:rsidRDefault="00AD0ABF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iCs/>
          <w:sz w:val="13"/>
          <w:szCs w:val="13"/>
          <w:lang w:eastAsia="lt-LT"/>
        </w:rPr>
      </w:pPr>
    </w:p>
    <w:p w:rsidR="00540D06" w:rsidRPr="00AD0ABF" w:rsidRDefault="00424F0A" w:rsidP="009866B7">
      <w:pPr>
        <w:spacing w:before="225" w:after="225" w:line="252" w:lineRule="atLeast"/>
        <w:jc w:val="both"/>
        <w:rPr>
          <w:rFonts w:ascii="Times New Roman" w:eastAsia="Times New Roman" w:hAnsi="Times New Roman"/>
          <w:sz w:val="16"/>
          <w:szCs w:val="18"/>
          <w:lang w:eastAsia="lt-LT"/>
        </w:rPr>
      </w:pPr>
      <w:r w:rsidRPr="00AD0ABF">
        <w:rPr>
          <w:rFonts w:ascii="Times New Roman" w:eastAsia="Times New Roman" w:hAnsi="Times New Roman"/>
          <w:iCs/>
          <w:sz w:val="16"/>
          <w:szCs w:val="18"/>
          <w:lang w:eastAsia="lt-LT"/>
        </w:rPr>
        <w:t xml:space="preserve">Informacija parengta pagal Užkrečiamųjų ligų ir </w:t>
      </w:r>
      <w:proofErr w:type="spellStart"/>
      <w:r w:rsidRPr="00AD0ABF">
        <w:rPr>
          <w:rFonts w:ascii="Times New Roman" w:eastAsia="Times New Roman" w:hAnsi="Times New Roman"/>
          <w:iCs/>
          <w:sz w:val="16"/>
          <w:szCs w:val="18"/>
          <w:lang w:eastAsia="lt-LT"/>
        </w:rPr>
        <w:t>Aids</w:t>
      </w:r>
      <w:proofErr w:type="spellEnd"/>
      <w:r w:rsidRPr="00AD0ABF">
        <w:rPr>
          <w:rFonts w:ascii="Times New Roman" w:eastAsia="Times New Roman" w:hAnsi="Times New Roman"/>
          <w:iCs/>
          <w:sz w:val="16"/>
          <w:szCs w:val="18"/>
          <w:lang w:eastAsia="lt-LT"/>
        </w:rPr>
        <w:t xml:space="preserve"> centro informaciją </w:t>
      </w:r>
      <w:hyperlink r:id="rId7" w:tgtFrame="_blank" w:history="1">
        <w:r w:rsidRPr="00AD0ABF">
          <w:rPr>
            <w:rFonts w:ascii="Times New Roman" w:eastAsia="Times New Roman" w:hAnsi="Times New Roman"/>
            <w:iCs/>
            <w:sz w:val="16"/>
            <w:szCs w:val="18"/>
            <w:u w:val="single"/>
            <w:lang w:eastAsia="lt-LT"/>
          </w:rPr>
          <w:t>www.ulac.lt</w:t>
        </w:r>
      </w:hyperlink>
      <w:r w:rsidRPr="00AD0ABF">
        <w:rPr>
          <w:rFonts w:ascii="Times New Roman" w:eastAsia="Times New Roman" w:hAnsi="Times New Roman"/>
          <w:iCs/>
          <w:sz w:val="16"/>
          <w:szCs w:val="18"/>
          <w:lang w:eastAsia="lt-LT"/>
        </w:rPr>
        <w:t>, Zarasų PSPC informaciją </w:t>
      </w:r>
      <w:hyperlink r:id="rId8" w:tgtFrame="_blank" w:history="1">
        <w:r w:rsidRPr="00AD0ABF">
          <w:rPr>
            <w:rFonts w:ascii="Times New Roman" w:eastAsia="Times New Roman" w:hAnsi="Times New Roman"/>
            <w:iCs/>
            <w:sz w:val="16"/>
            <w:szCs w:val="18"/>
            <w:u w:val="single"/>
            <w:lang w:eastAsia="lt-LT"/>
          </w:rPr>
          <w:t>www.zarasųpspc.lt</w:t>
        </w:r>
      </w:hyperlink>
      <w:r w:rsidRPr="00AD0ABF">
        <w:rPr>
          <w:rFonts w:ascii="Times New Roman" w:eastAsia="Times New Roman" w:hAnsi="Times New Roman"/>
          <w:iCs/>
          <w:sz w:val="16"/>
          <w:szCs w:val="18"/>
          <w:lang w:eastAsia="lt-LT"/>
        </w:rPr>
        <w:t>, Infekcinių ligų ir tuberkuliozės ligoninės informaciją </w:t>
      </w:r>
      <w:hyperlink r:id="rId9" w:tgtFrame="_blank" w:history="1">
        <w:r w:rsidRPr="00AD0ABF">
          <w:rPr>
            <w:rFonts w:ascii="Times New Roman" w:eastAsia="Times New Roman" w:hAnsi="Times New Roman"/>
            <w:iCs/>
            <w:sz w:val="16"/>
            <w:szCs w:val="18"/>
            <w:u w:val="single"/>
            <w:lang w:eastAsia="lt-LT"/>
          </w:rPr>
          <w:t>www.iltl.lt</w:t>
        </w:r>
      </w:hyperlink>
      <w:r w:rsidRPr="00AD0ABF">
        <w:rPr>
          <w:rFonts w:ascii="Times New Roman" w:eastAsia="Times New Roman" w:hAnsi="Times New Roman"/>
          <w:iCs/>
          <w:sz w:val="16"/>
          <w:szCs w:val="18"/>
          <w:lang w:eastAsia="lt-LT"/>
        </w:rPr>
        <w:t>, Tuberkuliozės profilaktikos ir kontrolės 2011 – 2014 metų programa www.lrs.lt.</w:t>
      </w:r>
    </w:p>
    <w:sectPr w:rsidR="00540D06" w:rsidRPr="00AD0ABF" w:rsidSect="00767ACA">
      <w:pgSz w:w="11906" w:h="16838"/>
      <w:pgMar w:top="851" w:right="709" w:bottom="426" w:left="567" w:header="567" w:footer="567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49D2"/>
    <w:multiLevelType w:val="multilevel"/>
    <w:tmpl w:val="78D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4A96"/>
    <w:multiLevelType w:val="multilevel"/>
    <w:tmpl w:val="368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121C3"/>
    <w:multiLevelType w:val="hybridMultilevel"/>
    <w:tmpl w:val="421A2AB0"/>
    <w:lvl w:ilvl="0" w:tplc="1F3A4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3FB3"/>
    <w:multiLevelType w:val="multilevel"/>
    <w:tmpl w:val="12A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A"/>
    <w:rsid w:val="00024A44"/>
    <w:rsid w:val="0018196B"/>
    <w:rsid w:val="003A7070"/>
    <w:rsid w:val="00424F0A"/>
    <w:rsid w:val="00554836"/>
    <w:rsid w:val="00631E5F"/>
    <w:rsid w:val="0065135E"/>
    <w:rsid w:val="00767ACA"/>
    <w:rsid w:val="009866B7"/>
    <w:rsid w:val="00AD0ABF"/>
    <w:rsid w:val="00CC3029"/>
    <w:rsid w:val="00E93B24"/>
    <w:rsid w:val="00EB5984"/>
    <w:rsid w:val="00FC07BF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874A"/>
  <w15:chartTrackingRefBased/>
  <w15:docId w15:val="{A1B655F7-AB7E-40DB-BF2D-D2D281D7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4F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zaraspspc-u8b.l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ac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tl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DA15-2CA1-4A85-AC39-E321F520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6</cp:revision>
  <dcterms:created xsi:type="dcterms:W3CDTF">2017-03-20T10:53:00Z</dcterms:created>
  <dcterms:modified xsi:type="dcterms:W3CDTF">2017-03-31T08:47:00Z</dcterms:modified>
</cp:coreProperties>
</file>